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59"/>
        <w:gridCol w:w="6095"/>
        <w:gridCol w:w="1701"/>
      </w:tblGrid>
      <w:tr w:rsidR="006477B1" w:rsidRPr="00647C6B" w:rsidTr="00996F57">
        <w:tc>
          <w:tcPr>
            <w:tcW w:w="959" w:type="dxa"/>
            <w:tcBorders>
              <w:top w:val="nil"/>
              <w:left w:val="nil"/>
              <w:bottom w:val="nil"/>
              <w:right w:val="nil"/>
            </w:tcBorders>
          </w:tcPr>
          <w:p w:rsidR="006477B1" w:rsidRPr="00647C6B" w:rsidRDefault="006477B1" w:rsidP="00996F57">
            <w:pPr>
              <w:rPr>
                <w:rFonts w:ascii="Arial" w:hAnsi="Arial" w:cs="Arial"/>
                <w:b/>
                <w:sz w:val="22"/>
                <w:szCs w:val="22"/>
                <w:u w:val="single"/>
              </w:rPr>
            </w:pPr>
          </w:p>
        </w:tc>
        <w:tc>
          <w:tcPr>
            <w:tcW w:w="6095" w:type="dxa"/>
            <w:tcBorders>
              <w:top w:val="nil"/>
              <w:left w:val="nil"/>
              <w:bottom w:val="nil"/>
              <w:right w:val="nil"/>
            </w:tcBorders>
          </w:tcPr>
          <w:p w:rsidR="006477B1" w:rsidRPr="002037E0" w:rsidRDefault="006477B1" w:rsidP="006477B1">
            <w:pPr>
              <w:tabs>
                <w:tab w:val="left" w:pos="0"/>
                <w:tab w:val="left" w:pos="720"/>
                <w:tab w:val="left" w:pos="1440"/>
                <w:tab w:val="left" w:pos="2160"/>
              </w:tabs>
              <w:suppressAutoHyphens/>
              <w:jc w:val="center"/>
              <w:rPr>
                <w:rFonts w:ascii="Arial" w:hAnsi="Arial" w:cs="Arial"/>
                <w:b/>
                <w:spacing w:val="-3"/>
                <w:sz w:val="22"/>
                <w:szCs w:val="22"/>
                <w:u w:val="single"/>
                <w:lang w:val="en-US"/>
              </w:rPr>
            </w:pPr>
            <w:r w:rsidRPr="002037E0">
              <w:rPr>
                <w:rFonts w:ascii="Arial" w:hAnsi="Arial" w:cs="Arial"/>
                <w:b/>
                <w:spacing w:val="-3"/>
                <w:sz w:val="22"/>
                <w:szCs w:val="22"/>
                <w:u w:val="single"/>
                <w:lang w:val="en-US"/>
              </w:rPr>
              <w:t>STANDING ORDERS</w:t>
            </w:r>
          </w:p>
          <w:p w:rsidR="006477B1" w:rsidRPr="002037E0" w:rsidRDefault="006477B1" w:rsidP="00996F57">
            <w:pPr>
              <w:tabs>
                <w:tab w:val="left" w:pos="0"/>
                <w:tab w:val="left" w:pos="720"/>
                <w:tab w:val="left" w:pos="1440"/>
                <w:tab w:val="left" w:pos="2160"/>
              </w:tabs>
              <w:suppressAutoHyphens/>
              <w:jc w:val="both"/>
              <w:rPr>
                <w:rFonts w:ascii="Arial" w:hAnsi="Arial" w:cs="Arial"/>
                <w:b/>
                <w:spacing w:val="-3"/>
                <w:sz w:val="22"/>
                <w:szCs w:val="22"/>
                <w:u w:val="single"/>
                <w:lang w:val="en-US"/>
              </w:rPr>
            </w:pPr>
          </w:p>
          <w:p w:rsidR="006477B1" w:rsidRPr="002037E0" w:rsidRDefault="006477B1" w:rsidP="006477B1">
            <w:pPr>
              <w:tabs>
                <w:tab w:val="left" w:pos="0"/>
                <w:tab w:val="left" w:pos="720"/>
                <w:tab w:val="left" w:pos="1440"/>
                <w:tab w:val="left" w:pos="2160"/>
              </w:tabs>
              <w:suppressAutoHyphens/>
              <w:jc w:val="center"/>
              <w:rPr>
                <w:rFonts w:ascii="Arial" w:hAnsi="Arial" w:cs="Arial"/>
                <w:spacing w:val="-3"/>
                <w:sz w:val="22"/>
                <w:szCs w:val="22"/>
                <w:u w:val="single"/>
                <w:lang w:val="en-US"/>
              </w:rPr>
            </w:pPr>
            <w:r w:rsidRPr="002037E0">
              <w:rPr>
                <w:rFonts w:ascii="Arial" w:hAnsi="Arial" w:cs="Arial"/>
                <w:b/>
                <w:spacing w:val="-3"/>
                <w:sz w:val="22"/>
                <w:szCs w:val="22"/>
                <w:u w:val="single"/>
                <w:lang w:val="en-US"/>
              </w:rPr>
              <w:t>MISCELLANEOUS</w:t>
            </w:r>
          </w:p>
          <w:p w:rsidR="006477B1" w:rsidRPr="00647C6B" w:rsidRDefault="006477B1" w:rsidP="00996F57">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6477B1" w:rsidRPr="00647C6B" w:rsidRDefault="006477B1" w:rsidP="00996F57">
            <w:pPr>
              <w:rPr>
                <w:rFonts w:ascii="Arial" w:hAnsi="Arial" w:cs="Arial"/>
                <w:i/>
                <w:sz w:val="22"/>
                <w:szCs w:val="22"/>
              </w:rPr>
            </w:pPr>
          </w:p>
        </w:tc>
      </w:tr>
      <w:tr w:rsidR="006477B1" w:rsidRPr="00647C6B" w:rsidTr="00996F57">
        <w:tc>
          <w:tcPr>
            <w:tcW w:w="959" w:type="dxa"/>
            <w:tcBorders>
              <w:top w:val="nil"/>
              <w:left w:val="nil"/>
              <w:bottom w:val="nil"/>
              <w:right w:val="nil"/>
            </w:tcBorders>
          </w:tcPr>
          <w:p w:rsidR="006477B1" w:rsidRPr="00647C6B" w:rsidRDefault="006477B1" w:rsidP="00996F57">
            <w:pPr>
              <w:rPr>
                <w:rFonts w:ascii="Arial" w:hAnsi="Arial" w:cs="Arial"/>
                <w:b/>
                <w:sz w:val="22"/>
                <w:szCs w:val="22"/>
                <w:u w:val="single"/>
              </w:rPr>
            </w:pPr>
            <w:r w:rsidRPr="00647C6B">
              <w:rPr>
                <w:rFonts w:ascii="Arial" w:hAnsi="Arial" w:cs="Arial"/>
                <w:spacing w:val="-3"/>
                <w:sz w:val="22"/>
                <w:szCs w:val="22"/>
                <w:lang w:val="en-US"/>
              </w:rPr>
              <w:t>98.</w:t>
            </w:r>
          </w:p>
        </w:tc>
        <w:tc>
          <w:tcPr>
            <w:tcW w:w="6095" w:type="dxa"/>
            <w:tcBorders>
              <w:top w:val="nil"/>
              <w:left w:val="nil"/>
              <w:bottom w:val="nil"/>
              <w:right w:val="nil"/>
            </w:tcBorders>
          </w:tcPr>
          <w:p w:rsidR="006477B1" w:rsidRPr="00647C6B" w:rsidRDefault="006477B1" w:rsidP="002037E0">
            <w:pPr>
              <w:tabs>
                <w:tab w:val="left" w:pos="0"/>
                <w:tab w:val="left" w:pos="493"/>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Every Question proposed to be asked of the President or of any Member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shall be with Notice: and the Answer, if any, shall be in writing.  The Question and Answer, if any, shall be read without explanation or comment on either side; but they shall not be recorded on the Minutes except by Order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which may be made on Motion without Notice.</w:t>
            </w:r>
          </w:p>
          <w:p w:rsidR="006477B1" w:rsidRPr="00647C6B" w:rsidRDefault="006477B1" w:rsidP="00996F57">
            <w:pPr>
              <w:tabs>
                <w:tab w:val="left" w:pos="0"/>
                <w:tab w:val="left" w:pos="720"/>
                <w:tab w:val="left" w:pos="1440"/>
                <w:tab w:val="left" w:pos="2160"/>
              </w:tabs>
              <w:suppressAutoHyphens/>
              <w:jc w:val="both"/>
              <w:rPr>
                <w:rFonts w:ascii="Arial" w:hAnsi="Arial" w:cs="Arial"/>
                <w:b/>
                <w:spacing w:val="-3"/>
                <w:sz w:val="22"/>
                <w:szCs w:val="22"/>
                <w:lang w:val="en-US"/>
              </w:rPr>
            </w:pPr>
          </w:p>
        </w:tc>
        <w:tc>
          <w:tcPr>
            <w:tcW w:w="1701" w:type="dxa"/>
            <w:tcBorders>
              <w:top w:val="nil"/>
              <w:left w:val="nil"/>
              <w:bottom w:val="nil"/>
              <w:right w:val="nil"/>
            </w:tcBorders>
          </w:tcPr>
          <w:p w:rsidR="006477B1" w:rsidRPr="00F37FBD" w:rsidRDefault="006477B1" w:rsidP="00996F57">
            <w:pPr>
              <w:rPr>
                <w:rFonts w:ascii="Arial" w:hAnsi="Arial" w:cs="Arial"/>
                <w:i/>
                <w:sz w:val="18"/>
                <w:szCs w:val="18"/>
              </w:rPr>
            </w:pPr>
            <w:r w:rsidRPr="00F37FBD">
              <w:rPr>
                <w:rFonts w:ascii="Arial" w:hAnsi="Arial" w:cs="Arial"/>
                <w:i/>
                <w:sz w:val="18"/>
                <w:szCs w:val="18"/>
              </w:rPr>
              <w:t>Questions and answers not to be minuted</w:t>
            </w:r>
          </w:p>
        </w:tc>
      </w:tr>
      <w:tr w:rsidR="00F061E0" w:rsidRPr="00F061E0" w:rsidTr="00996F57">
        <w:tc>
          <w:tcPr>
            <w:tcW w:w="959" w:type="dxa"/>
            <w:tcBorders>
              <w:top w:val="nil"/>
              <w:left w:val="nil"/>
              <w:bottom w:val="nil"/>
              <w:right w:val="nil"/>
            </w:tcBorders>
          </w:tcPr>
          <w:p w:rsidR="001718DD" w:rsidRPr="00F061E0" w:rsidRDefault="001718DD" w:rsidP="00996F57">
            <w:pPr>
              <w:rPr>
                <w:rFonts w:ascii="Arial" w:hAnsi="Arial" w:cs="Arial"/>
                <w:spacing w:val="-3"/>
                <w:sz w:val="22"/>
                <w:szCs w:val="22"/>
                <w:lang w:val="en-US"/>
              </w:rPr>
            </w:pPr>
            <w:r w:rsidRPr="00F061E0">
              <w:rPr>
                <w:rFonts w:ascii="Arial" w:hAnsi="Arial" w:cs="Arial"/>
                <w:spacing w:val="-3"/>
                <w:sz w:val="22"/>
                <w:szCs w:val="22"/>
                <w:lang w:val="en-US"/>
              </w:rPr>
              <w:t>99(a)</w:t>
            </w:r>
          </w:p>
        </w:tc>
        <w:tc>
          <w:tcPr>
            <w:tcW w:w="6095" w:type="dxa"/>
            <w:tcBorders>
              <w:top w:val="nil"/>
              <w:left w:val="nil"/>
              <w:bottom w:val="nil"/>
              <w:right w:val="nil"/>
            </w:tcBorders>
          </w:tcPr>
          <w:p w:rsidR="001718DD" w:rsidRPr="00F061E0" w:rsidRDefault="001718DD" w:rsidP="00996F57">
            <w:pPr>
              <w:tabs>
                <w:tab w:val="left" w:pos="0"/>
                <w:tab w:val="left" w:pos="720"/>
                <w:tab w:val="left" w:pos="1440"/>
                <w:tab w:val="left" w:pos="2160"/>
              </w:tabs>
              <w:suppressAutoHyphens/>
              <w:jc w:val="both"/>
              <w:rPr>
                <w:rFonts w:ascii="Arial" w:hAnsi="Arial" w:cs="Arial"/>
                <w:spacing w:val="-3"/>
                <w:sz w:val="22"/>
                <w:szCs w:val="22"/>
                <w:lang w:val="en-US"/>
              </w:rPr>
            </w:pPr>
            <w:r w:rsidRPr="00F061E0">
              <w:rPr>
                <w:rFonts w:ascii="Arial" w:hAnsi="Arial" w:cs="Arial"/>
                <w:spacing w:val="-3"/>
                <w:sz w:val="22"/>
                <w:szCs w:val="22"/>
                <w:lang w:val="en-US"/>
              </w:rPr>
              <w:t>Prior to each Session of the Synod/</w:t>
            </w:r>
            <w:proofErr w:type="spellStart"/>
            <w:r w:rsidRPr="00F061E0">
              <w:rPr>
                <w:rFonts w:ascii="Arial" w:hAnsi="Arial" w:cs="Arial"/>
                <w:spacing w:val="-3"/>
                <w:sz w:val="22"/>
                <w:szCs w:val="22"/>
                <w:lang w:val="en-US"/>
              </w:rPr>
              <w:t>te</w:t>
            </w:r>
            <w:proofErr w:type="spellEnd"/>
            <w:r w:rsidRPr="00F061E0">
              <w:rPr>
                <w:rFonts w:ascii="Arial" w:hAnsi="Arial" w:cs="Arial"/>
                <w:spacing w:val="-3"/>
                <w:sz w:val="22"/>
                <w:szCs w:val="22"/>
                <w:lang w:val="en-US"/>
              </w:rPr>
              <w:t xml:space="preserve"> </w:t>
            </w:r>
            <w:proofErr w:type="spellStart"/>
            <w:r w:rsidRPr="00F061E0">
              <w:rPr>
                <w:rFonts w:ascii="Arial" w:hAnsi="Arial" w:cs="Arial"/>
                <w:spacing w:val="-3"/>
                <w:sz w:val="22"/>
                <w:szCs w:val="22"/>
                <w:lang w:val="en-US"/>
              </w:rPr>
              <w:t>Hīnota</w:t>
            </w:r>
            <w:proofErr w:type="spellEnd"/>
            <w:r w:rsidRPr="00F061E0">
              <w:rPr>
                <w:rFonts w:ascii="Arial" w:hAnsi="Arial" w:cs="Arial"/>
                <w:spacing w:val="-3"/>
                <w:sz w:val="22"/>
                <w:szCs w:val="22"/>
                <w:lang w:val="en-US"/>
              </w:rPr>
              <w:t xml:space="preserve"> the Clerk may make the Order Paper, Bills and Motions of which Notice has been duly given, and Reports to the Synod/</w:t>
            </w:r>
            <w:proofErr w:type="spellStart"/>
            <w:r w:rsidRPr="00F061E0">
              <w:rPr>
                <w:rFonts w:ascii="Arial" w:hAnsi="Arial" w:cs="Arial"/>
                <w:spacing w:val="-3"/>
                <w:sz w:val="22"/>
                <w:szCs w:val="22"/>
                <w:lang w:val="en-US"/>
              </w:rPr>
              <w:t>te</w:t>
            </w:r>
            <w:proofErr w:type="spellEnd"/>
            <w:r w:rsidRPr="00F061E0">
              <w:rPr>
                <w:rFonts w:ascii="Arial" w:hAnsi="Arial" w:cs="Arial"/>
                <w:spacing w:val="-3"/>
                <w:sz w:val="22"/>
                <w:szCs w:val="22"/>
                <w:lang w:val="en-US"/>
              </w:rPr>
              <w:t xml:space="preserve"> </w:t>
            </w:r>
            <w:proofErr w:type="spellStart"/>
            <w:r w:rsidRPr="00F061E0">
              <w:rPr>
                <w:rFonts w:ascii="Arial" w:hAnsi="Arial" w:cs="Arial"/>
                <w:spacing w:val="-3"/>
                <w:sz w:val="22"/>
                <w:szCs w:val="22"/>
                <w:lang w:val="en-US"/>
              </w:rPr>
              <w:t>Hīnota</w:t>
            </w:r>
            <w:proofErr w:type="spellEnd"/>
            <w:r w:rsidRPr="00F061E0">
              <w:rPr>
                <w:rFonts w:ascii="Arial" w:hAnsi="Arial" w:cs="Arial"/>
                <w:spacing w:val="-3"/>
                <w:sz w:val="22"/>
                <w:szCs w:val="22"/>
                <w:lang w:val="en-US"/>
              </w:rPr>
              <w:t xml:space="preserve">, available to the public by electronic or other means, </w:t>
            </w:r>
          </w:p>
          <w:p w:rsidR="001718DD" w:rsidRPr="00F061E0" w:rsidRDefault="001718DD" w:rsidP="00996F57">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1718DD" w:rsidRPr="00F061E0" w:rsidRDefault="001718DD" w:rsidP="00996F57">
            <w:pPr>
              <w:rPr>
                <w:rFonts w:ascii="Arial" w:hAnsi="Arial" w:cs="Arial"/>
                <w:i/>
                <w:strike/>
                <w:sz w:val="18"/>
                <w:szCs w:val="18"/>
              </w:rPr>
            </w:pPr>
            <w:r w:rsidRPr="00F061E0">
              <w:rPr>
                <w:rFonts w:ascii="Arial" w:hAnsi="Arial" w:cs="Arial"/>
                <w:i/>
                <w:sz w:val="18"/>
                <w:szCs w:val="18"/>
              </w:rPr>
              <w:t>2014</w:t>
            </w:r>
          </w:p>
        </w:tc>
      </w:tr>
      <w:tr w:rsidR="00F061E0" w:rsidRPr="00F061E0" w:rsidTr="00996F57">
        <w:tc>
          <w:tcPr>
            <w:tcW w:w="959" w:type="dxa"/>
            <w:tcBorders>
              <w:top w:val="nil"/>
              <w:left w:val="nil"/>
              <w:bottom w:val="nil"/>
              <w:right w:val="nil"/>
            </w:tcBorders>
          </w:tcPr>
          <w:p w:rsidR="001718DD" w:rsidRPr="00F061E0" w:rsidRDefault="001718DD" w:rsidP="00996F57">
            <w:pPr>
              <w:rPr>
                <w:rFonts w:ascii="Arial" w:hAnsi="Arial" w:cs="Arial"/>
                <w:strike/>
                <w:spacing w:val="-3"/>
                <w:sz w:val="22"/>
                <w:szCs w:val="22"/>
                <w:lang w:val="en-US"/>
              </w:rPr>
            </w:pPr>
          </w:p>
        </w:tc>
        <w:tc>
          <w:tcPr>
            <w:tcW w:w="6095" w:type="dxa"/>
            <w:tcBorders>
              <w:top w:val="nil"/>
              <w:left w:val="nil"/>
              <w:bottom w:val="nil"/>
              <w:right w:val="nil"/>
            </w:tcBorders>
          </w:tcPr>
          <w:p w:rsidR="001718DD" w:rsidRPr="00F061E0" w:rsidRDefault="001718DD" w:rsidP="00996F57">
            <w:pPr>
              <w:tabs>
                <w:tab w:val="left" w:pos="0"/>
                <w:tab w:val="left" w:pos="720"/>
                <w:tab w:val="left" w:pos="1440"/>
                <w:tab w:val="left" w:pos="2160"/>
              </w:tabs>
              <w:suppressAutoHyphens/>
              <w:jc w:val="both"/>
              <w:rPr>
                <w:rFonts w:ascii="Arial" w:hAnsi="Arial" w:cs="Arial"/>
                <w:spacing w:val="-3"/>
                <w:sz w:val="22"/>
                <w:szCs w:val="22"/>
                <w:lang w:val="en-US"/>
              </w:rPr>
            </w:pPr>
            <w:r w:rsidRPr="00F061E0">
              <w:rPr>
                <w:rFonts w:ascii="Arial" w:hAnsi="Arial" w:cs="Arial"/>
                <w:spacing w:val="-3"/>
                <w:sz w:val="22"/>
                <w:szCs w:val="22"/>
                <w:lang w:val="en-US"/>
              </w:rPr>
              <w:t>Provided that material to be distributed to members of the Synod/</w:t>
            </w:r>
            <w:proofErr w:type="spellStart"/>
            <w:r w:rsidRPr="00F061E0">
              <w:rPr>
                <w:rFonts w:ascii="Arial" w:hAnsi="Arial" w:cs="Arial"/>
                <w:spacing w:val="-3"/>
                <w:sz w:val="22"/>
                <w:szCs w:val="22"/>
                <w:lang w:val="en-US"/>
              </w:rPr>
              <w:t>te</w:t>
            </w:r>
            <w:proofErr w:type="spellEnd"/>
            <w:r w:rsidRPr="00F061E0">
              <w:rPr>
                <w:rFonts w:ascii="Arial" w:hAnsi="Arial" w:cs="Arial"/>
                <w:spacing w:val="-3"/>
                <w:sz w:val="22"/>
                <w:szCs w:val="22"/>
                <w:lang w:val="en-US"/>
              </w:rPr>
              <w:t xml:space="preserve"> </w:t>
            </w:r>
            <w:proofErr w:type="spellStart"/>
            <w:r w:rsidRPr="00F061E0">
              <w:rPr>
                <w:rFonts w:ascii="Arial" w:hAnsi="Arial" w:cs="Arial"/>
                <w:spacing w:val="-3"/>
                <w:sz w:val="22"/>
                <w:szCs w:val="22"/>
                <w:lang w:val="en-US"/>
              </w:rPr>
              <w:t>Hīnota</w:t>
            </w:r>
            <w:proofErr w:type="spellEnd"/>
            <w:r w:rsidRPr="00F061E0">
              <w:rPr>
                <w:rFonts w:ascii="Arial" w:hAnsi="Arial" w:cs="Arial"/>
                <w:spacing w:val="-3"/>
                <w:sz w:val="22"/>
                <w:szCs w:val="22"/>
                <w:lang w:val="en-US"/>
              </w:rPr>
              <w:t xml:space="preserve"> prior to the Session shall not be made available to the public until a week after it has been sent to members, or it has been sent to members and less than a week remains until the Synod/</w:t>
            </w:r>
            <w:proofErr w:type="spellStart"/>
            <w:r w:rsidRPr="00F061E0">
              <w:rPr>
                <w:rFonts w:ascii="Arial" w:hAnsi="Arial" w:cs="Arial"/>
                <w:spacing w:val="-3"/>
                <w:sz w:val="22"/>
                <w:szCs w:val="22"/>
                <w:lang w:val="en-US"/>
              </w:rPr>
              <w:t>te</w:t>
            </w:r>
            <w:proofErr w:type="spellEnd"/>
            <w:r w:rsidRPr="00F061E0">
              <w:rPr>
                <w:rFonts w:ascii="Arial" w:hAnsi="Arial" w:cs="Arial"/>
                <w:spacing w:val="-3"/>
                <w:sz w:val="22"/>
                <w:szCs w:val="22"/>
                <w:lang w:val="en-US"/>
              </w:rPr>
              <w:t xml:space="preserve"> </w:t>
            </w:r>
            <w:proofErr w:type="spellStart"/>
            <w:r w:rsidRPr="00F061E0">
              <w:rPr>
                <w:rFonts w:ascii="Arial" w:hAnsi="Arial" w:cs="Arial"/>
                <w:spacing w:val="-3"/>
                <w:sz w:val="22"/>
                <w:szCs w:val="22"/>
                <w:lang w:val="en-US"/>
              </w:rPr>
              <w:t>Hīnota</w:t>
            </w:r>
            <w:proofErr w:type="spellEnd"/>
            <w:r w:rsidRPr="00F061E0">
              <w:rPr>
                <w:rFonts w:ascii="Arial" w:hAnsi="Arial" w:cs="Arial"/>
                <w:spacing w:val="-3"/>
                <w:sz w:val="22"/>
                <w:szCs w:val="22"/>
                <w:lang w:val="en-US"/>
              </w:rPr>
              <w:t xml:space="preserve"> will convene, and</w:t>
            </w:r>
          </w:p>
          <w:p w:rsidR="001718DD" w:rsidRPr="00F061E0" w:rsidRDefault="001718DD" w:rsidP="00996F57">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1718DD" w:rsidRPr="00F061E0" w:rsidRDefault="001718DD" w:rsidP="00996F57">
            <w:pPr>
              <w:rPr>
                <w:rFonts w:ascii="Arial" w:hAnsi="Arial" w:cs="Arial"/>
                <w:i/>
                <w:strike/>
                <w:sz w:val="18"/>
                <w:szCs w:val="18"/>
              </w:rPr>
            </w:pPr>
          </w:p>
        </w:tc>
      </w:tr>
      <w:tr w:rsidR="00F061E0" w:rsidRPr="00F061E0" w:rsidTr="00996F57">
        <w:tc>
          <w:tcPr>
            <w:tcW w:w="959" w:type="dxa"/>
            <w:tcBorders>
              <w:top w:val="nil"/>
              <w:left w:val="nil"/>
              <w:bottom w:val="nil"/>
              <w:right w:val="nil"/>
            </w:tcBorders>
          </w:tcPr>
          <w:p w:rsidR="001718DD" w:rsidRPr="00F061E0" w:rsidRDefault="001718DD" w:rsidP="00996F57">
            <w:pPr>
              <w:rPr>
                <w:rFonts w:ascii="Arial" w:hAnsi="Arial" w:cs="Arial"/>
                <w:strike/>
                <w:spacing w:val="-3"/>
                <w:sz w:val="22"/>
                <w:szCs w:val="22"/>
                <w:lang w:val="en-US"/>
              </w:rPr>
            </w:pPr>
          </w:p>
        </w:tc>
        <w:tc>
          <w:tcPr>
            <w:tcW w:w="6095" w:type="dxa"/>
            <w:tcBorders>
              <w:top w:val="nil"/>
              <w:left w:val="nil"/>
              <w:bottom w:val="nil"/>
              <w:right w:val="nil"/>
            </w:tcBorders>
          </w:tcPr>
          <w:p w:rsidR="001718DD" w:rsidRPr="00F061E0" w:rsidRDefault="001718DD" w:rsidP="00996F57">
            <w:pPr>
              <w:tabs>
                <w:tab w:val="left" w:pos="0"/>
                <w:tab w:val="left" w:pos="720"/>
                <w:tab w:val="left" w:pos="1440"/>
                <w:tab w:val="left" w:pos="2160"/>
              </w:tabs>
              <w:suppressAutoHyphens/>
              <w:jc w:val="both"/>
              <w:rPr>
                <w:rFonts w:ascii="Arial" w:hAnsi="Arial" w:cs="Arial"/>
                <w:spacing w:val="-3"/>
                <w:sz w:val="22"/>
                <w:szCs w:val="22"/>
                <w:lang w:val="en-US"/>
              </w:rPr>
            </w:pPr>
            <w:r w:rsidRPr="00F061E0">
              <w:rPr>
                <w:rFonts w:ascii="Arial" w:hAnsi="Arial" w:cs="Arial"/>
                <w:spacing w:val="-3"/>
                <w:sz w:val="22"/>
                <w:szCs w:val="22"/>
                <w:lang w:val="en-US"/>
              </w:rPr>
              <w:t>Provided further that the Clerk does not consider that such material should remain confidential until it has been considered by the Synod/</w:t>
            </w:r>
            <w:proofErr w:type="spellStart"/>
            <w:r w:rsidRPr="00F061E0">
              <w:rPr>
                <w:rFonts w:ascii="Arial" w:hAnsi="Arial" w:cs="Arial"/>
                <w:spacing w:val="-3"/>
                <w:sz w:val="22"/>
                <w:szCs w:val="22"/>
                <w:lang w:val="en-US"/>
              </w:rPr>
              <w:t>te</w:t>
            </w:r>
            <w:proofErr w:type="spellEnd"/>
            <w:r w:rsidRPr="00F061E0">
              <w:rPr>
                <w:rFonts w:ascii="Arial" w:hAnsi="Arial" w:cs="Arial"/>
                <w:spacing w:val="-3"/>
                <w:sz w:val="22"/>
                <w:szCs w:val="22"/>
                <w:lang w:val="en-US"/>
              </w:rPr>
              <w:t xml:space="preserve"> </w:t>
            </w:r>
            <w:proofErr w:type="spellStart"/>
            <w:r w:rsidRPr="00F061E0">
              <w:rPr>
                <w:rFonts w:ascii="Arial" w:hAnsi="Arial" w:cs="Arial"/>
                <w:spacing w:val="-3"/>
                <w:sz w:val="22"/>
                <w:szCs w:val="22"/>
                <w:lang w:val="en-US"/>
              </w:rPr>
              <w:t>Hīnota</w:t>
            </w:r>
            <w:proofErr w:type="spellEnd"/>
            <w:r w:rsidRPr="00F061E0">
              <w:rPr>
                <w:rFonts w:ascii="Arial" w:hAnsi="Arial" w:cs="Arial"/>
                <w:spacing w:val="-3"/>
                <w:sz w:val="22"/>
                <w:szCs w:val="22"/>
                <w:lang w:val="en-US"/>
              </w:rPr>
              <w:t>.</w:t>
            </w:r>
          </w:p>
          <w:p w:rsidR="001718DD" w:rsidRPr="00F061E0" w:rsidRDefault="001718DD" w:rsidP="00996F57">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1718DD" w:rsidRPr="00F061E0" w:rsidRDefault="001718DD" w:rsidP="00996F57">
            <w:pPr>
              <w:rPr>
                <w:rFonts w:ascii="Arial" w:hAnsi="Arial" w:cs="Arial"/>
                <w:i/>
                <w:strike/>
                <w:sz w:val="18"/>
                <w:szCs w:val="18"/>
              </w:rPr>
            </w:pPr>
          </w:p>
        </w:tc>
      </w:tr>
      <w:tr w:rsidR="00F061E0" w:rsidRPr="00F061E0" w:rsidTr="00996F57">
        <w:tc>
          <w:tcPr>
            <w:tcW w:w="959" w:type="dxa"/>
            <w:tcBorders>
              <w:top w:val="nil"/>
              <w:left w:val="nil"/>
              <w:bottom w:val="nil"/>
              <w:right w:val="nil"/>
            </w:tcBorders>
          </w:tcPr>
          <w:p w:rsidR="001718DD" w:rsidRPr="00F061E0" w:rsidRDefault="001718DD" w:rsidP="00996F57">
            <w:pPr>
              <w:rPr>
                <w:rFonts w:ascii="Arial" w:hAnsi="Arial" w:cs="Arial"/>
                <w:spacing w:val="-3"/>
                <w:sz w:val="22"/>
                <w:szCs w:val="22"/>
                <w:lang w:val="en-US"/>
              </w:rPr>
            </w:pPr>
            <w:r w:rsidRPr="00F061E0">
              <w:rPr>
                <w:rFonts w:ascii="Arial" w:hAnsi="Arial" w:cs="Arial"/>
                <w:spacing w:val="-3"/>
                <w:sz w:val="22"/>
                <w:szCs w:val="22"/>
                <w:lang w:val="en-US"/>
              </w:rPr>
              <w:t>99(b)</w:t>
            </w:r>
          </w:p>
        </w:tc>
        <w:tc>
          <w:tcPr>
            <w:tcW w:w="6095" w:type="dxa"/>
            <w:tcBorders>
              <w:top w:val="nil"/>
              <w:left w:val="nil"/>
              <w:bottom w:val="nil"/>
              <w:right w:val="nil"/>
            </w:tcBorders>
          </w:tcPr>
          <w:p w:rsidR="001718DD" w:rsidRPr="00F061E0" w:rsidRDefault="001718DD" w:rsidP="00996F57">
            <w:pPr>
              <w:tabs>
                <w:tab w:val="left" w:pos="0"/>
                <w:tab w:val="left" w:pos="720"/>
                <w:tab w:val="left" w:pos="1440"/>
                <w:tab w:val="left" w:pos="2160"/>
              </w:tabs>
              <w:suppressAutoHyphens/>
              <w:jc w:val="both"/>
              <w:rPr>
                <w:rFonts w:ascii="Arial" w:hAnsi="Arial" w:cs="Arial"/>
                <w:spacing w:val="-3"/>
                <w:sz w:val="22"/>
                <w:szCs w:val="22"/>
                <w:lang w:val="en-US"/>
              </w:rPr>
            </w:pPr>
            <w:r w:rsidRPr="00F061E0">
              <w:rPr>
                <w:rFonts w:ascii="Arial" w:hAnsi="Arial" w:cs="Arial"/>
                <w:spacing w:val="-3"/>
                <w:sz w:val="22"/>
                <w:szCs w:val="22"/>
                <w:lang w:val="en-US"/>
              </w:rPr>
              <w:t>In order to give publicity to the Proceedings of the Synod/</w:t>
            </w:r>
            <w:proofErr w:type="spellStart"/>
            <w:r w:rsidRPr="00F061E0">
              <w:rPr>
                <w:rFonts w:ascii="Arial" w:hAnsi="Arial" w:cs="Arial"/>
                <w:spacing w:val="-3"/>
                <w:sz w:val="22"/>
                <w:szCs w:val="22"/>
                <w:lang w:val="en-US"/>
              </w:rPr>
              <w:t>te</w:t>
            </w:r>
            <w:proofErr w:type="spellEnd"/>
            <w:r w:rsidRPr="00F061E0">
              <w:rPr>
                <w:rFonts w:ascii="Arial" w:hAnsi="Arial" w:cs="Arial"/>
                <w:spacing w:val="-3"/>
                <w:sz w:val="22"/>
                <w:szCs w:val="22"/>
                <w:lang w:val="en-US"/>
              </w:rPr>
              <w:t xml:space="preserve"> </w:t>
            </w:r>
            <w:proofErr w:type="spellStart"/>
            <w:r w:rsidRPr="00F061E0">
              <w:rPr>
                <w:rFonts w:ascii="Arial" w:hAnsi="Arial" w:cs="Arial"/>
                <w:spacing w:val="-3"/>
                <w:sz w:val="22"/>
                <w:szCs w:val="22"/>
                <w:lang w:val="en-US"/>
              </w:rPr>
              <w:t>Hīnota</w:t>
            </w:r>
            <w:proofErr w:type="spellEnd"/>
            <w:r w:rsidRPr="00F061E0">
              <w:rPr>
                <w:rFonts w:ascii="Arial" w:hAnsi="Arial" w:cs="Arial"/>
                <w:spacing w:val="-3"/>
                <w:sz w:val="22"/>
                <w:szCs w:val="22"/>
                <w:lang w:val="en-US"/>
              </w:rPr>
              <w:t xml:space="preserve"> the Clerk may, unless otherwise ordered by the Synod/</w:t>
            </w:r>
            <w:proofErr w:type="spellStart"/>
            <w:r w:rsidRPr="00F061E0">
              <w:rPr>
                <w:rFonts w:ascii="Arial" w:hAnsi="Arial" w:cs="Arial"/>
                <w:spacing w:val="-3"/>
                <w:sz w:val="22"/>
                <w:szCs w:val="22"/>
                <w:lang w:val="en-US"/>
              </w:rPr>
              <w:t>te</w:t>
            </w:r>
            <w:proofErr w:type="spellEnd"/>
            <w:r w:rsidRPr="00F061E0">
              <w:rPr>
                <w:rFonts w:ascii="Arial" w:hAnsi="Arial" w:cs="Arial"/>
                <w:spacing w:val="-3"/>
                <w:sz w:val="22"/>
                <w:szCs w:val="22"/>
                <w:lang w:val="en-US"/>
              </w:rPr>
              <w:t xml:space="preserve"> </w:t>
            </w:r>
            <w:proofErr w:type="spellStart"/>
            <w:r w:rsidRPr="00F061E0">
              <w:rPr>
                <w:rFonts w:ascii="Arial" w:hAnsi="Arial" w:cs="Arial"/>
                <w:spacing w:val="-3"/>
                <w:sz w:val="22"/>
                <w:szCs w:val="22"/>
                <w:lang w:val="en-US"/>
              </w:rPr>
              <w:t>Hīnota</w:t>
            </w:r>
            <w:proofErr w:type="spellEnd"/>
            <w:r w:rsidRPr="00F061E0">
              <w:rPr>
                <w:rFonts w:ascii="Arial" w:hAnsi="Arial" w:cs="Arial"/>
                <w:spacing w:val="-3"/>
                <w:sz w:val="22"/>
                <w:szCs w:val="22"/>
                <w:lang w:val="en-US"/>
              </w:rPr>
              <w:t>, make available to the public, by electronic or other means, any documents which have been l</w:t>
            </w:r>
            <w:r w:rsidR="00F061E0" w:rsidRPr="00F061E0">
              <w:rPr>
                <w:rFonts w:ascii="Arial" w:hAnsi="Arial" w:cs="Arial"/>
                <w:spacing w:val="-3"/>
                <w:sz w:val="22"/>
                <w:szCs w:val="22"/>
                <w:lang w:val="en-US"/>
              </w:rPr>
              <w:t>a</w:t>
            </w:r>
            <w:r w:rsidRPr="00F061E0">
              <w:rPr>
                <w:rFonts w:ascii="Arial" w:hAnsi="Arial" w:cs="Arial"/>
                <w:spacing w:val="-3"/>
                <w:sz w:val="22"/>
                <w:szCs w:val="22"/>
                <w:lang w:val="en-US"/>
              </w:rPr>
              <w:t>id before the Synod/</w:t>
            </w:r>
            <w:proofErr w:type="spellStart"/>
            <w:r w:rsidRPr="00F061E0">
              <w:rPr>
                <w:rFonts w:ascii="Arial" w:hAnsi="Arial" w:cs="Arial"/>
                <w:spacing w:val="-3"/>
                <w:sz w:val="22"/>
                <w:szCs w:val="22"/>
                <w:lang w:val="en-US"/>
              </w:rPr>
              <w:t>te</w:t>
            </w:r>
            <w:proofErr w:type="spellEnd"/>
            <w:r w:rsidRPr="00F061E0">
              <w:rPr>
                <w:rFonts w:ascii="Arial" w:hAnsi="Arial" w:cs="Arial"/>
                <w:spacing w:val="-3"/>
                <w:sz w:val="22"/>
                <w:szCs w:val="22"/>
                <w:lang w:val="en-US"/>
              </w:rPr>
              <w:t xml:space="preserve"> </w:t>
            </w:r>
            <w:proofErr w:type="spellStart"/>
            <w:r w:rsidRPr="00F061E0">
              <w:rPr>
                <w:rFonts w:ascii="Arial" w:hAnsi="Arial" w:cs="Arial"/>
                <w:spacing w:val="-3"/>
                <w:sz w:val="22"/>
                <w:szCs w:val="22"/>
                <w:lang w:val="en-US"/>
              </w:rPr>
              <w:t>Hīnota</w:t>
            </w:r>
            <w:proofErr w:type="spellEnd"/>
            <w:r w:rsidRPr="00F061E0">
              <w:rPr>
                <w:rFonts w:ascii="Arial" w:hAnsi="Arial" w:cs="Arial"/>
                <w:spacing w:val="-3"/>
                <w:sz w:val="22"/>
                <w:szCs w:val="22"/>
                <w:lang w:val="en-US"/>
              </w:rPr>
              <w:t>, and all Resolutions and other proceedings of the Synod/</w:t>
            </w:r>
            <w:proofErr w:type="spellStart"/>
            <w:r w:rsidRPr="00F061E0">
              <w:rPr>
                <w:rFonts w:ascii="Arial" w:hAnsi="Arial" w:cs="Arial"/>
                <w:spacing w:val="-3"/>
                <w:sz w:val="22"/>
                <w:szCs w:val="22"/>
                <w:lang w:val="en-US"/>
              </w:rPr>
              <w:t>te</w:t>
            </w:r>
            <w:proofErr w:type="spellEnd"/>
            <w:r w:rsidRPr="00F061E0">
              <w:rPr>
                <w:rFonts w:ascii="Arial" w:hAnsi="Arial" w:cs="Arial"/>
                <w:spacing w:val="-3"/>
                <w:sz w:val="22"/>
                <w:szCs w:val="22"/>
                <w:lang w:val="en-US"/>
              </w:rPr>
              <w:t xml:space="preserve"> </w:t>
            </w:r>
            <w:proofErr w:type="spellStart"/>
            <w:r w:rsidRPr="00F061E0">
              <w:rPr>
                <w:rFonts w:ascii="Arial" w:hAnsi="Arial" w:cs="Arial"/>
                <w:spacing w:val="-3"/>
                <w:sz w:val="22"/>
                <w:szCs w:val="22"/>
                <w:lang w:val="en-US"/>
              </w:rPr>
              <w:t>Hīnota</w:t>
            </w:r>
            <w:proofErr w:type="spellEnd"/>
            <w:r w:rsidRPr="00F061E0">
              <w:rPr>
                <w:rFonts w:ascii="Arial" w:hAnsi="Arial" w:cs="Arial"/>
                <w:spacing w:val="-3"/>
                <w:sz w:val="22"/>
                <w:szCs w:val="22"/>
                <w:lang w:val="en-US"/>
              </w:rPr>
              <w:t xml:space="preserve"> which are recorded in the Minutes.</w:t>
            </w:r>
          </w:p>
          <w:p w:rsidR="001718DD" w:rsidRPr="00F061E0" w:rsidRDefault="001718DD" w:rsidP="00996F57">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1718DD" w:rsidRPr="00F061E0" w:rsidRDefault="001718DD" w:rsidP="00996F57">
            <w:pPr>
              <w:rPr>
                <w:rFonts w:ascii="Arial" w:hAnsi="Arial" w:cs="Arial"/>
                <w:i/>
                <w:sz w:val="18"/>
                <w:szCs w:val="18"/>
              </w:rPr>
            </w:pPr>
            <w:r w:rsidRPr="00F061E0">
              <w:rPr>
                <w:rFonts w:ascii="Arial" w:hAnsi="Arial" w:cs="Arial"/>
                <w:i/>
                <w:sz w:val="18"/>
                <w:szCs w:val="18"/>
              </w:rPr>
              <w:t>2014</w:t>
            </w:r>
          </w:p>
        </w:tc>
      </w:tr>
      <w:tr w:rsidR="006477B1" w:rsidRPr="00647C6B" w:rsidTr="00996F57">
        <w:tc>
          <w:tcPr>
            <w:tcW w:w="959" w:type="dxa"/>
            <w:tcBorders>
              <w:top w:val="nil"/>
              <w:left w:val="nil"/>
              <w:bottom w:val="nil"/>
              <w:right w:val="nil"/>
            </w:tcBorders>
          </w:tcPr>
          <w:p w:rsidR="006477B1" w:rsidRPr="00647C6B" w:rsidRDefault="006477B1" w:rsidP="00996F57">
            <w:pPr>
              <w:rPr>
                <w:rFonts w:ascii="Arial" w:hAnsi="Arial" w:cs="Arial"/>
                <w:b/>
                <w:sz w:val="22"/>
                <w:szCs w:val="22"/>
                <w:u w:val="single"/>
              </w:rPr>
            </w:pPr>
            <w:r w:rsidRPr="00647C6B">
              <w:rPr>
                <w:rFonts w:ascii="Arial" w:hAnsi="Arial" w:cs="Arial"/>
                <w:spacing w:val="-3"/>
                <w:sz w:val="22"/>
                <w:szCs w:val="22"/>
                <w:lang w:val="en-US"/>
              </w:rPr>
              <w:t>100.</w:t>
            </w:r>
          </w:p>
        </w:tc>
        <w:tc>
          <w:tcPr>
            <w:tcW w:w="6095" w:type="dxa"/>
            <w:tcBorders>
              <w:top w:val="nil"/>
              <w:left w:val="nil"/>
              <w:bottom w:val="nil"/>
              <w:right w:val="nil"/>
            </w:tcBorders>
          </w:tcPr>
          <w:p w:rsidR="006477B1" w:rsidRPr="00647C6B" w:rsidRDefault="006477B1" w:rsidP="00996F57">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Every mover of a nomination for any board, commission or committee for which there is to be an election may with the nomination provide a factual statement of the candidate with his or her credentials for the office, in no more than fifty words, and such information shall be made available to members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by the General Secretary after the nominations have closed.</w:t>
            </w:r>
          </w:p>
          <w:p w:rsidR="006477B1" w:rsidRPr="00647C6B" w:rsidRDefault="006477B1" w:rsidP="00996F57">
            <w:pPr>
              <w:tabs>
                <w:tab w:val="left" w:pos="0"/>
                <w:tab w:val="left" w:pos="720"/>
                <w:tab w:val="left" w:pos="1440"/>
                <w:tab w:val="left" w:pos="2160"/>
              </w:tabs>
              <w:suppressAutoHyphens/>
              <w:jc w:val="both"/>
              <w:rPr>
                <w:rFonts w:ascii="Arial" w:hAnsi="Arial" w:cs="Arial"/>
                <w:b/>
                <w:spacing w:val="-3"/>
                <w:sz w:val="22"/>
                <w:szCs w:val="22"/>
                <w:lang w:val="en-US"/>
              </w:rPr>
            </w:pPr>
          </w:p>
        </w:tc>
        <w:tc>
          <w:tcPr>
            <w:tcW w:w="1701" w:type="dxa"/>
            <w:tcBorders>
              <w:top w:val="nil"/>
              <w:left w:val="nil"/>
              <w:bottom w:val="nil"/>
              <w:right w:val="nil"/>
            </w:tcBorders>
          </w:tcPr>
          <w:p w:rsidR="006477B1" w:rsidRPr="00F37FBD" w:rsidRDefault="006477B1" w:rsidP="00996F57">
            <w:pPr>
              <w:rPr>
                <w:rFonts w:ascii="Arial" w:hAnsi="Arial" w:cs="Arial"/>
                <w:i/>
                <w:sz w:val="18"/>
                <w:szCs w:val="18"/>
              </w:rPr>
            </w:pPr>
            <w:r w:rsidRPr="00F37FBD">
              <w:rPr>
                <w:rFonts w:ascii="Arial" w:hAnsi="Arial" w:cs="Arial"/>
                <w:i/>
                <w:sz w:val="18"/>
                <w:szCs w:val="18"/>
              </w:rPr>
              <w:t>Nominations may be accompanied by brief factual statement</w:t>
            </w:r>
          </w:p>
        </w:tc>
      </w:tr>
    </w:tbl>
    <w:p w:rsidR="00422C78" w:rsidRDefault="00422C78" w:rsidP="00996F57">
      <w:pPr>
        <w:rPr>
          <w:rFonts w:ascii="Arial" w:hAnsi="Arial" w:cs="Arial"/>
          <w:spacing w:val="-3"/>
          <w:sz w:val="22"/>
          <w:szCs w:val="22"/>
          <w:lang w:val="en-US"/>
        </w:rPr>
        <w:sectPr w:rsidR="00422C78">
          <w:headerReference w:type="default" r:id="rId10"/>
          <w:footerReference w:type="default" r:id="rId11"/>
          <w:pgSz w:w="11906" w:h="16838"/>
          <w:pgMar w:top="1440" w:right="1440" w:bottom="1440" w:left="1440" w:header="708" w:footer="708" w:gutter="0"/>
          <w:cols w:space="708"/>
          <w:docGrid w:linePitch="360"/>
        </w:sectPr>
      </w:pPr>
    </w:p>
    <w:tbl>
      <w:tblPr>
        <w:tblW w:w="0" w:type="auto"/>
        <w:tblLayout w:type="fixed"/>
        <w:tblLook w:val="0000" w:firstRow="0" w:lastRow="0" w:firstColumn="0" w:lastColumn="0" w:noHBand="0" w:noVBand="0"/>
      </w:tblPr>
      <w:tblGrid>
        <w:gridCol w:w="959"/>
        <w:gridCol w:w="6095"/>
        <w:gridCol w:w="1701"/>
      </w:tblGrid>
      <w:tr w:rsidR="006477B1" w:rsidRPr="00647C6B" w:rsidTr="00996F57">
        <w:tc>
          <w:tcPr>
            <w:tcW w:w="959" w:type="dxa"/>
            <w:tcBorders>
              <w:top w:val="nil"/>
              <w:left w:val="nil"/>
              <w:bottom w:val="nil"/>
              <w:right w:val="nil"/>
            </w:tcBorders>
          </w:tcPr>
          <w:p w:rsidR="006477B1" w:rsidRPr="00647C6B" w:rsidRDefault="006477B1" w:rsidP="00996F57">
            <w:pPr>
              <w:rPr>
                <w:rFonts w:ascii="Arial" w:hAnsi="Arial" w:cs="Arial"/>
                <w:b/>
                <w:sz w:val="22"/>
                <w:szCs w:val="22"/>
                <w:u w:val="single"/>
              </w:rPr>
            </w:pPr>
            <w:r w:rsidRPr="00647C6B">
              <w:rPr>
                <w:rFonts w:ascii="Arial" w:hAnsi="Arial" w:cs="Arial"/>
                <w:spacing w:val="-3"/>
                <w:sz w:val="22"/>
                <w:szCs w:val="22"/>
                <w:lang w:val="en-US"/>
              </w:rPr>
              <w:t>101.</w:t>
            </w:r>
          </w:p>
        </w:tc>
        <w:tc>
          <w:tcPr>
            <w:tcW w:w="6095" w:type="dxa"/>
            <w:tcBorders>
              <w:top w:val="nil"/>
              <w:left w:val="nil"/>
              <w:bottom w:val="nil"/>
              <w:right w:val="nil"/>
            </w:tcBorders>
          </w:tcPr>
          <w:p w:rsidR="006477B1" w:rsidRPr="00647C6B" w:rsidRDefault="006477B1" w:rsidP="00996F57">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Every mover or promoter of motions or bills to General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Whānui</w:t>
            </w:r>
            <w:proofErr w:type="spellEnd"/>
            <w:r w:rsidRPr="00647C6B">
              <w:rPr>
                <w:rFonts w:ascii="Arial" w:hAnsi="Arial" w:cs="Arial"/>
                <w:spacing w:val="-3"/>
                <w:sz w:val="22"/>
                <w:szCs w:val="22"/>
                <w:lang w:val="en-US"/>
              </w:rPr>
              <w:t xml:space="preserve"> may lodge with the General Secretary at least ten weeks before the opening day of any session an explanatory note relating thereto, and provided in the opinion of the General Secretary the note is directed only to matters of explanation (and not advocacy) the same shall be printed with the notice of motion or bill in the pre</w:t>
            </w:r>
            <w:r w:rsidRPr="00647C6B">
              <w:rPr>
                <w:rFonts w:ascii="Arial" w:hAnsi="Arial" w:cs="Arial"/>
                <w:spacing w:val="-3"/>
                <w:sz w:val="22"/>
                <w:szCs w:val="22"/>
                <w:lang w:val="en-US"/>
              </w:rPr>
              <w:noBreakHyphen/>
              <w:t xml:space="preserve">session papers dispatched to General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Whānui</w:t>
            </w:r>
            <w:proofErr w:type="spellEnd"/>
            <w:r w:rsidRPr="00647C6B">
              <w:rPr>
                <w:rFonts w:ascii="Arial" w:hAnsi="Arial" w:cs="Arial"/>
                <w:spacing w:val="-3"/>
                <w:sz w:val="22"/>
                <w:szCs w:val="22"/>
                <w:lang w:val="en-US"/>
              </w:rPr>
              <w:t xml:space="preserve"> members.</w:t>
            </w:r>
          </w:p>
          <w:p w:rsidR="006477B1" w:rsidRPr="00647C6B" w:rsidRDefault="006477B1" w:rsidP="00996F57">
            <w:pPr>
              <w:tabs>
                <w:tab w:val="left" w:pos="0"/>
                <w:tab w:val="left" w:pos="720"/>
                <w:tab w:val="left" w:pos="1440"/>
                <w:tab w:val="left" w:pos="2160"/>
              </w:tabs>
              <w:suppressAutoHyphens/>
              <w:jc w:val="both"/>
              <w:rPr>
                <w:rFonts w:ascii="Arial" w:hAnsi="Arial" w:cs="Arial"/>
                <w:b/>
                <w:spacing w:val="-3"/>
                <w:sz w:val="22"/>
                <w:szCs w:val="22"/>
                <w:lang w:val="en-US"/>
              </w:rPr>
            </w:pPr>
          </w:p>
        </w:tc>
        <w:tc>
          <w:tcPr>
            <w:tcW w:w="1701" w:type="dxa"/>
            <w:tcBorders>
              <w:top w:val="nil"/>
              <w:left w:val="nil"/>
              <w:bottom w:val="nil"/>
              <w:right w:val="nil"/>
            </w:tcBorders>
          </w:tcPr>
          <w:p w:rsidR="006477B1" w:rsidRPr="00F37FBD" w:rsidRDefault="006477B1" w:rsidP="00996F57">
            <w:pPr>
              <w:rPr>
                <w:rFonts w:ascii="Arial" w:hAnsi="Arial" w:cs="Arial"/>
                <w:i/>
                <w:sz w:val="18"/>
                <w:szCs w:val="18"/>
              </w:rPr>
            </w:pPr>
            <w:r w:rsidRPr="00F37FBD">
              <w:rPr>
                <w:rFonts w:ascii="Arial" w:hAnsi="Arial" w:cs="Arial"/>
                <w:i/>
                <w:sz w:val="18"/>
                <w:szCs w:val="18"/>
              </w:rPr>
              <w:t>Explanatory notes for bills and motions</w:t>
            </w:r>
          </w:p>
        </w:tc>
      </w:tr>
      <w:tr w:rsidR="006477B1" w:rsidRPr="00647C6B" w:rsidTr="00996F57">
        <w:tc>
          <w:tcPr>
            <w:tcW w:w="959" w:type="dxa"/>
            <w:tcBorders>
              <w:top w:val="nil"/>
              <w:left w:val="nil"/>
              <w:bottom w:val="nil"/>
              <w:right w:val="nil"/>
            </w:tcBorders>
          </w:tcPr>
          <w:p w:rsidR="006477B1" w:rsidRPr="00647C6B" w:rsidRDefault="006477B1" w:rsidP="00996F57">
            <w:pPr>
              <w:rPr>
                <w:rFonts w:ascii="Arial" w:hAnsi="Arial" w:cs="Arial"/>
                <w:b/>
                <w:sz w:val="22"/>
                <w:szCs w:val="22"/>
                <w:u w:val="single"/>
              </w:rPr>
            </w:pPr>
            <w:r w:rsidRPr="00647C6B">
              <w:rPr>
                <w:rFonts w:ascii="Arial" w:hAnsi="Arial" w:cs="Arial"/>
                <w:spacing w:val="-3"/>
                <w:sz w:val="22"/>
                <w:szCs w:val="22"/>
                <w:lang w:val="en-US"/>
              </w:rPr>
              <w:t>102.</w:t>
            </w:r>
          </w:p>
        </w:tc>
        <w:tc>
          <w:tcPr>
            <w:tcW w:w="6095" w:type="dxa"/>
            <w:tcBorders>
              <w:top w:val="nil"/>
              <w:left w:val="nil"/>
              <w:bottom w:val="nil"/>
              <w:right w:val="nil"/>
            </w:tcBorders>
          </w:tcPr>
          <w:p w:rsidR="006477B1" w:rsidRPr="00647C6B" w:rsidRDefault="006477B1" w:rsidP="00996F57">
            <w:pPr>
              <w:tabs>
                <w:tab w:val="left" w:pos="0"/>
                <w:tab w:val="left" w:pos="720"/>
                <w:tab w:val="left" w:pos="1440"/>
                <w:tab w:val="left" w:pos="2160"/>
              </w:tabs>
              <w:suppressAutoHyphens/>
              <w:ind w:left="720" w:hanging="720"/>
              <w:jc w:val="both"/>
              <w:rPr>
                <w:rFonts w:ascii="Arial" w:hAnsi="Arial" w:cs="Arial"/>
                <w:spacing w:val="-3"/>
                <w:sz w:val="22"/>
                <w:szCs w:val="22"/>
                <w:lang w:val="en-US"/>
              </w:rPr>
            </w:pPr>
            <w:r w:rsidRPr="00647C6B">
              <w:rPr>
                <w:rFonts w:ascii="Arial" w:hAnsi="Arial" w:cs="Arial"/>
                <w:spacing w:val="-3"/>
                <w:sz w:val="22"/>
                <w:szCs w:val="22"/>
                <w:lang w:val="en-US"/>
              </w:rPr>
              <w:t>(</w:t>
            </w:r>
            <w:proofErr w:type="spellStart"/>
            <w:r w:rsidRPr="00647C6B">
              <w:rPr>
                <w:rFonts w:ascii="Arial" w:hAnsi="Arial" w:cs="Arial"/>
                <w:spacing w:val="-3"/>
                <w:sz w:val="22"/>
                <w:szCs w:val="22"/>
                <w:lang w:val="en-US"/>
              </w:rPr>
              <w:t>i</w:t>
            </w:r>
            <w:proofErr w:type="spellEnd"/>
            <w:r w:rsidRPr="00647C6B">
              <w:rPr>
                <w:rFonts w:ascii="Arial" w:hAnsi="Arial" w:cs="Arial"/>
                <w:spacing w:val="-3"/>
                <w:sz w:val="22"/>
                <w:szCs w:val="22"/>
                <w:lang w:val="en-US"/>
              </w:rPr>
              <w:t>)</w:t>
            </w:r>
            <w:r w:rsidRPr="00647C6B">
              <w:rPr>
                <w:rFonts w:ascii="Arial" w:hAnsi="Arial" w:cs="Arial"/>
                <w:spacing w:val="-3"/>
                <w:sz w:val="22"/>
                <w:szCs w:val="22"/>
                <w:lang w:val="en-US"/>
              </w:rPr>
              <w:tab/>
              <w:t xml:space="preserve">Standing Order 10 may be suspended on Motion without Notice. </w:t>
            </w:r>
          </w:p>
          <w:p w:rsidR="006477B1" w:rsidRPr="00647C6B" w:rsidRDefault="006477B1" w:rsidP="00996F57">
            <w:pPr>
              <w:tabs>
                <w:tab w:val="left" w:pos="0"/>
                <w:tab w:val="left" w:pos="720"/>
                <w:tab w:val="left" w:pos="1440"/>
                <w:tab w:val="left" w:pos="2160"/>
              </w:tabs>
              <w:suppressAutoHyphens/>
              <w:jc w:val="both"/>
              <w:rPr>
                <w:rFonts w:ascii="Arial" w:hAnsi="Arial" w:cs="Arial"/>
                <w:b/>
                <w:spacing w:val="-3"/>
                <w:sz w:val="22"/>
                <w:szCs w:val="22"/>
                <w:lang w:val="en-US"/>
              </w:rPr>
            </w:pPr>
          </w:p>
        </w:tc>
        <w:tc>
          <w:tcPr>
            <w:tcW w:w="1701" w:type="dxa"/>
            <w:tcBorders>
              <w:top w:val="nil"/>
              <w:left w:val="nil"/>
              <w:bottom w:val="nil"/>
              <w:right w:val="nil"/>
            </w:tcBorders>
          </w:tcPr>
          <w:p w:rsidR="006477B1" w:rsidRPr="00F37FBD" w:rsidRDefault="006477B1" w:rsidP="00996F57">
            <w:pPr>
              <w:rPr>
                <w:rFonts w:ascii="Arial" w:hAnsi="Arial" w:cs="Arial"/>
                <w:i/>
                <w:sz w:val="18"/>
                <w:szCs w:val="18"/>
              </w:rPr>
            </w:pPr>
            <w:r w:rsidRPr="00F37FBD">
              <w:rPr>
                <w:rFonts w:ascii="Arial" w:hAnsi="Arial" w:cs="Arial"/>
                <w:i/>
                <w:sz w:val="18"/>
                <w:szCs w:val="18"/>
              </w:rPr>
              <w:t>Suspension of Standing Orders</w:t>
            </w:r>
          </w:p>
        </w:tc>
      </w:tr>
      <w:tr w:rsidR="006477B1" w:rsidRPr="00647C6B" w:rsidTr="00996F57">
        <w:tc>
          <w:tcPr>
            <w:tcW w:w="959" w:type="dxa"/>
            <w:tcBorders>
              <w:top w:val="nil"/>
              <w:left w:val="nil"/>
              <w:bottom w:val="nil"/>
              <w:right w:val="nil"/>
            </w:tcBorders>
          </w:tcPr>
          <w:p w:rsidR="006477B1" w:rsidRPr="00647C6B" w:rsidRDefault="006477B1" w:rsidP="00996F57">
            <w:pPr>
              <w:rPr>
                <w:rFonts w:ascii="Arial" w:hAnsi="Arial" w:cs="Arial"/>
                <w:b/>
                <w:sz w:val="22"/>
                <w:szCs w:val="22"/>
                <w:u w:val="single"/>
              </w:rPr>
            </w:pPr>
          </w:p>
        </w:tc>
        <w:tc>
          <w:tcPr>
            <w:tcW w:w="6095" w:type="dxa"/>
            <w:tcBorders>
              <w:top w:val="nil"/>
              <w:left w:val="nil"/>
              <w:bottom w:val="nil"/>
              <w:right w:val="nil"/>
            </w:tcBorders>
          </w:tcPr>
          <w:p w:rsidR="006477B1" w:rsidRPr="00647C6B" w:rsidRDefault="006477B1" w:rsidP="00996F57">
            <w:pPr>
              <w:tabs>
                <w:tab w:val="left" w:pos="0"/>
                <w:tab w:val="left" w:pos="720"/>
                <w:tab w:val="left" w:pos="1440"/>
                <w:tab w:val="left" w:pos="2160"/>
              </w:tabs>
              <w:suppressAutoHyphens/>
              <w:ind w:left="720" w:hanging="720"/>
              <w:jc w:val="both"/>
              <w:rPr>
                <w:rFonts w:ascii="Arial" w:hAnsi="Arial" w:cs="Arial"/>
                <w:spacing w:val="-3"/>
                <w:sz w:val="22"/>
                <w:szCs w:val="22"/>
                <w:lang w:val="en-US"/>
              </w:rPr>
            </w:pPr>
            <w:r w:rsidRPr="00647C6B">
              <w:rPr>
                <w:rFonts w:ascii="Arial" w:hAnsi="Arial" w:cs="Arial"/>
                <w:spacing w:val="-3"/>
                <w:sz w:val="22"/>
                <w:szCs w:val="22"/>
                <w:lang w:val="en-US"/>
              </w:rPr>
              <w:t>(ii)</w:t>
            </w:r>
            <w:r w:rsidRPr="00647C6B">
              <w:rPr>
                <w:rFonts w:ascii="Arial" w:hAnsi="Arial" w:cs="Arial"/>
                <w:spacing w:val="-3"/>
                <w:sz w:val="22"/>
                <w:szCs w:val="22"/>
                <w:lang w:val="en-US"/>
              </w:rPr>
              <w:tab/>
              <w:t>Any other Standing Order may be suspended on Motion without Notice, provided that such Motion shall not be deemed to be carried if at least five Members vote against it.</w:t>
            </w:r>
          </w:p>
          <w:p w:rsidR="006477B1" w:rsidRPr="00647C6B" w:rsidRDefault="006477B1" w:rsidP="00996F57">
            <w:pPr>
              <w:tabs>
                <w:tab w:val="left" w:pos="0"/>
                <w:tab w:val="left" w:pos="720"/>
                <w:tab w:val="left" w:pos="1440"/>
                <w:tab w:val="left" w:pos="2160"/>
              </w:tabs>
              <w:suppressAutoHyphens/>
              <w:ind w:left="720" w:hanging="720"/>
              <w:jc w:val="both"/>
              <w:rPr>
                <w:rFonts w:ascii="Arial" w:hAnsi="Arial" w:cs="Arial"/>
                <w:b/>
                <w:spacing w:val="-3"/>
                <w:sz w:val="22"/>
                <w:szCs w:val="22"/>
                <w:lang w:val="en-US"/>
              </w:rPr>
            </w:pPr>
          </w:p>
        </w:tc>
        <w:tc>
          <w:tcPr>
            <w:tcW w:w="1701" w:type="dxa"/>
            <w:tcBorders>
              <w:top w:val="nil"/>
              <w:left w:val="nil"/>
              <w:bottom w:val="nil"/>
              <w:right w:val="nil"/>
            </w:tcBorders>
          </w:tcPr>
          <w:p w:rsidR="006477B1" w:rsidRPr="00F37FBD" w:rsidRDefault="006477B1" w:rsidP="00996F57">
            <w:pPr>
              <w:rPr>
                <w:rFonts w:ascii="Arial" w:hAnsi="Arial" w:cs="Arial"/>
                <w:i/>
                <w:sz w:val="18"/>
                <w:szCs w:val="18"/>
              </w:rPr>
            </w:pPr>
            <w:r w:rsidRPr="00F37FBD">
              <w:rPr>
                <w:rFonts w:ascii="Arial" w:hAnsi="Arial" w:cs="Arial"/>
                <w:i/>
                <w:sz w:val="18"/>
                <w:szCs w:val="18"/>
              </w:rPr>
              <w:t>Motion for suspension not to be debated</w:t>
            </w:r>
          </w:p>
        </w:tc>
      </w:tr>
      <w:tr w:rsidR="006477B1" w:rsidRPr="00647C6B" w:rsidTr="00996F57">
        <w:tc>
          <w:tcPr>
            <w:tcW w:w="959" w:type="dxa"/>
            <w:tcBorders>
              <w:top w:val="nil"/>
              <w:left w:val="nil"/>
              <w:bottom w:val="nil"/>
              <w:right w:val="nil"/>
            </w:tcBorders>
          </w:tcPr>
          <w:p w:rsidR="006477B1" w:rsidRPr="00647C6B" w:rsidRDefault="006477B1" w:rsidP="00996F57">
            <w:pPr>
              <w:rPr>
                <w:rFonts w:ascii="Arial" w:hAnsi="Arial" w:cs="Arial"/>
                <w:b/>
                <w:sz w:val="22"/>
                <w:szCs w:val="22"/>
                <w:u w:val="single"/>
              </w:rPr>
            </w:pPr>
            <w:r w:rsidRPr="00647C6B">
              <w:rPr>
                <w:rFonts w:ascii="Arial" w:hAnsi="Arial" w:cs="Arial"/>
                <w:spacing w:val="-3"/>
                <w:sz w:val="22"/>
                <w:szCs w:val="22"/>
                <w:lang w:val="en-US"/>
              </w:rPr>
              <w:t>103.</w:t>
            </w:r>
          </w:p>
        </w:tc>
        <w:tc>
          <w:tcPr>
            <w:tcW w:w="6095" w:type="dxa"/>
            <w:tcBorders>
              <w:top w:val="nil"/>
              <w:left w:val="nil"/>
              <w:bottom w:val="nil"/>
              <w:right w:val="nil"/>
            </w:tcBorders>
          </w:tcPr>
          <w:p w:rsidR="006477B1" w:rsidRDefault="006477B1" w:rsidP="002037E0">
            <w:pPr>
              <w:tabs>
                <w:tab w:val="left" w:pos="0"/>
                <w:tab w:val="left" w:pos="720"/>
                <w:tab w:val="left" w:pos="1343"/>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A Motion to Suspend a Standing Order shall state the purpose for which the suspension is desired, and shall, if seconded, be put without debate; and the suspension, if granted, shall not allow of the introduction of any matter other than that specified in the Motion.</w:t>
            </w:r>
          </w:p>
          <w:p w:rsidR="00422C78" w:rsidRPr="00647C6B" w:rsidRDefault="00422C78" w:rsidP="002037E0">
            <w:pPr>
              <w:tabs>
                <w:tab w:val="left" w:pos="0"/>
                <w:tab w:val="left" w:pos="720"/>
                <w:tab w:val="left" w:pos="1343"/>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6477B1" w:rsidRPr="00F37FBD" w:rsidRDefault="006477B1" w:rsidP="00996F57">
            <w:pPr>
              <w:rPr>
                <w:rFonts w:ascii="Arial" w:hAnsi="Arial" w:cs="Arial"/>
                <w:i/>
                <w:sz w:val="18"/>
                <w:szCs w:val="18"/>
              </w:rPr>
            </w:pPr>
            <w:r w:rsidRPr="00F37FBD">
              <w:rPr>
                <w:rFonts w:ascii="Arial" w:hAnsi="Arial" w:cs="Arial"/>
                <w:i/>
                <w:sz w:val="18"/>
                <w:szCs w:val="18"/>
              </w:rPr>
              <w:t>Altering or annulling Standing Orders</w:t>
            </w:r>
          </w:p>
        </w:tc>
      </w:tr>
      <w:tr w:rsidR="006477B1" w:rsidRPr="00647C6B" w:rsidTr="00996F57">
        <w:tc>
          <w:tcPr>
            <w:tcW w:w="959" w:type="dxa"/>
            <w:tcBorders>
              <w:top w:val="nil"/>
              <w:left w:val="nil"/>
              <w:bottom w:val="nil"/>
              <w:right w:val="nil"/>
            </w:tcBorders>
          </w:tcPr>
          <w:p w:rsidR="006477B1" w:rsidRPr="00647C6B" w:rsidRDefault="006477B1" w:rsidP="00996F57">
            <w:pPr>
              <w:rPr>
                <w:rFonts w:ascii="Arial" w:hAnsi="Arial" w:cs="Arial"/>
                <w:b/>
                <w:sz w:val="22"/>
                <w:szCs w:val="22"/>
                <w:u w:val="single"/>
              </w:rPr>
            </w:pPr>
            <w:r w:rsidRPr="00647C6B">
              <w:rPr>
                <w:rFonts w:ascii="Arial" w:hAnsi="Arial" w:cs="Arial"/>
                <w:spacing w:val="-3"/>
                <w:sz w:val="22"/>
                <w:szCs w:val="22"/>
                <w:lang w:val="en-US"/>
              </w:rPr>
              <w:t>104.</w:t>
            </w:r>
          </w:p>
        </w:tc>
        <w:tc>
          <w:tcPr>
            <w:tcW w:w="6095" w:type="dxa"/>
            <w:tcBorders>
              <w:top w:val="nil"/>
              <w:left w:val="nil"/>
              <w:bottom w:val="nil"/>
              <w:right w:val="nil"/>
            </w:tcBorders>
          </w:tcPr>
          <w:p w:rsidR="006477B1" w:rsidRPr="00647C6B" w:rsidRDefault="006477B1" w:rsidP="00996F57">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Except where notice thereof has been given to the General Secretary not less than seven weeks before the Session, and dispatched to members of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at least five weeks before the commencement of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no proposal for enacting, amending, or repealing any Standing Order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shall be entertained until the second Sitting Day after the Notice of such proposal has been given; and every such proposal shall be considered by the Committee of the whole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before it is submitted to the vote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w:t>
            </w:r>
          </w:p>
          <w:p w:rsidR="006477B1" w:rsidRPr="00647C6B" w:rsidRDefault="006477B1" w:rsidP="00996F57">
            <w:pPr>
              <w:tabs>
                <w:tab w:val="left" w:pos="0"/>
                <w:tab w:val="left" w:pos="720"/>
                <w:tab w:val="left" w:pos="1440"/>
                <w:tab w:val="left" w:pos="2160"/>
              </w:tabs>
              <w:suppressAutoHyphens/>
              <w:jc w:val="both"/>
              <w:rPr>
                <w:rFonts w:ascii="Arial" w:hAnsi="Arial" w:cs="Arial"/>
                <w:b/>
                <w:spacing w:val="-3"/>
                <w:sz w:val="22"/>
                <w:szCs w:val="22"/>
                <w:lang w:val="en-US"/>
              </w:rPr>
            </w:pPr>
          </w:p>
        </w:tc>
        <w:tc>
          <w:tcPr>
            <w:tcW w:w="1701" w:type="dxa"/>
            <w:tcBorders>
              <w:top w:val="nil"/>
              <w:left w:val="nil"/>
              <w:bottom w:val="nil"/>
              <w:right w:val="nil"/>
            </w:tcBorders>
          </w:tcPr>
          <w:p w:rsidR="006477B1" w:rsidRPr="00F37FBD" w:rsidRDefault="006477B1" w:rsidP="00996F57">
            <w:pPr>
              <w:rPr>
                <w:rFonts w:ascii="Arial" w:hAnsi="Arial" w:cs="Arial"/>
                <w:i/>
                <w:sz w:val="18"/>
                <w:szCs w:val="18"/>
              </w:rPr>
            </w:pPr>
            <w:r w:rsidRPr="00F37FBD">
              <w:rPr>
                <w:rFonts w:ascii="Arial" w:hAnsi="Arial" w:cs="Arial"/>
                <w:i/>
                <w:sz w:val="18"/>
                <w:szCs w:val="18"/>
              </w:rPr>
              <w:t>Cases not provided for</w:t>
            </w:r>
          </w:p>
        </w:tc>
      </w:tr>
      <w:tr w:rsidR="006477B1" w:rsidRPr="00647C6B" w:rsidTr="00996F57">
        <w:tc>
          <w:tcPr>
            <w:tcW w:w="959" w:type="dxa"/>
            <w:tcBorders>
              <w:top w:val="nil"/>
              <w:left w:val="nil"/>
              <w:bottom w:val="nil"/>
              <w:right w:val="nil"/>
            </w:tcBorders>
          </w:tcPr>
          <w:p w:rsidR="006477B1" w:rsidRPr="00647C6B" w:rsidRDefault="006477B1" w:rsidP="00996F57">
            <w:pPr>
              <w:rPr>
                <w:rFonts w:ascii="Arial" w:hAnsi="Arial" w:cs="Arial"/>
                <w:spacing w:val="-3"/>
                <w:sz w:val="22"/>
                <w:szCs w:val="22"/>
                <w:lang w:val="en-US"/>
              </w:rPr>
            </w:pPr>
            <w:r w:rsidRPr="00647C6B">
              <w:rPr>
                <w:rFonts w:ascii="Arial" w:hAnsi="Arial" w:cs="Arial"/>
                <w:spacing w:val="-3"/>
                <w:sz w:val="22"/>
                <w:szCs w:val="22"/>
                <w:lang w:val="en-US"/>
              </w:rPr>
              <w:t>105</w:t>
            </w:r>
            <w:r>
              <w:rPr>
                <w:rFonts w:ascii="Arial" w:hAnsi="Arial" w:cs="Arial"/>
                <w:spacing w:val="-3"/>
                <w:sz w:val="22"/>
                <w:szCs w:val="22"/>
                <w:lang w:val="en-US"/>
              </w:rPr>
              <w:t>.</w:t>
            </w:r>
          </w:p>
        </w:tc>
        <w:tc>
          <w:tcPr>
            <w:tcW w:w="6095" w:type="dxa"/>
            <w:tcBorders>
              <w:top w:val="nil"/>
              <w:left w:val="nil"/>
              <w:bottom w:val="nil"/>
              <w:right w:val="nil"/>
            </w:tcBorders>
          </w:tcPr>
          <w:p w:rsidR="006477B1" w:rsidRPr="00647C6B" w:rsidRDefault="006477B1" w:rsidP="00996F57">
            <w:pPr>
              <w:tabs>
                <w:tab w:val="left" w:pos="0"/>
                <w:tab w:val="left" w:pos="720"/>
                <w:tab w:val="left" w:pos="1440"/>
                <w:tab w:val="left" w:pos="2160"/>
              </w:tabs>
              <w:suppressAutoHyphens/>
              <w:jc w:val="both"/>
              <w:rPr>
                <w:rFonts w:ascii="Arial" w:hAnsi="Arial" w:cs="Arial"/>
                <w:sz w:val="22"/>
                <w:szCs w:val="22"/>
              </w:rPr>
            </w:pPr>
            <w:r w:rsidRPr="00647C6B">
              <w:rPr>
                <w:rFonts w:ascii="Arial" w:hAnsi="Arial" w:cs="Arial"/>
                <w:sz w:val="22"/>
                <w:szCs w:val="22"/>
              </w:rPr>
              <w:t xml:space="preserve">Reports to the Synod / </w:t>
            </w:r>
            <w:proofErr w:type="spellStart"/>
            <w:r w:rsidRPr="00647C6B">
              <w:rPr>
                <w:rFonts w:ascii="Arial" w:hAnsi="Arial" w:cs="Arial"/>
                <w:sz w:val="22"/>
                <w:szCs w:val="22"/>
              </w:rPr>
              <w:t>te</w:t>
            </w:r>
            <w:proofErr w:type="spellEnd"/>
            <w:r w:rsidRPr="00647C6B">
              <w:rPr>
                <w:rFonts w:ascii="Arial" w:hAnsi="Arial" w:cs="Arial"/>
                <w:sz w:val="22"/>
                <w:szCs w:val="22"/>
              </w:rPr>
              <w:t xml:space="preserve"> </w:t>
            </w:r>
            <w:proofErr w:type="spellStart"/>
            <w:r w:rsidRPr="00647C6B">
              <w:rPr>
                <w:rFonts w:ascii="Arial" w:hAnsi="Arial" w:cs="Arial"/>
                <w:sz w:val="22"/>
                <w:szCs w:val="22"/>
              </w:rPr>
              <w:t>Hīnota</w:t>
            </w:r>
            <w:proofErr w:type="spellEnd"/>
            <w:r w:rsidRPr="00647C6B">
              <w:rPr>
                <w:rFonts w:ascii="Arial" w:hAnsi="Arial" w:cs="Arial"/>
                <w:sz w:val="22"/>
                <w:szCs w:val="22"/>
              </w:rPr>
              <w:t xml:space="preserve"> required by the Canons or by a previous Session of the Synod / </w:t>
            </w:r>
            <w:proofErr w:type="spellStart"/>
            <w:r w:rsidRPr="00647C6B">
              <w:rPr>
                <w:rFonts w:ascii="Arial" w:hAnsi="Arial" w:cs="Arial"/>
                <w:sz w:val="22"/>
                <w:szCs w:val="22"/>
              </w:rPr>
              <w:t>te</w:t>
            </w:r>
            <w:proofErr w:type="spellEnd"/>
            <w:r w:rsidRPr="00647C6B">
              <w:rPr>
                <w:rFonts w:ascii="Arial" w:hAnsi="Arial" w:cs="Arial"/>
                <w:sz w:val="22"/>
                <w:szCs w:val="22"/>
              </w:rPr>
              <w:t xml:space="preserve"> </w:t>
            </w:r>
            <w:proofErr w:type="spellStart"/>
            <w:r w:rsidRPr="00647C6B">
              <w:rPr>
                <w:rFonts w:ascii="Arial" w:hAnsi="Arial" w:cs="Arial"/>
                <w:sz w:val="22"/>
                <w:szCs w:val="22"/>
              </w:rPr>
              <w:t>Hīnota</w:t>
            </w:r>
            <w:proofErr w:type="spellEnd"/>
            <w:r w:rsidRPr="00647C6B">
              <w:rPr>
                <w:rFonts w:ascii="Arial" w:hAnsi="Arial" w:cs="Arial"/>
                <w:sz w:val="22"/>
                <w:szCs w:val="22"/>
              </w:rPr>
              <w:t xml:space="preserve"> may be presented together under a single Motion with the consent of the reporting body or the member presenting the report PROVIDED THAT such a Motion shall be considered by the Committee of the whole Synod / </w:t>
            </w:r>
            <w:proofErr w:type="spellStart"/>
            <w:r w:rsidRPr="00647C6B">
              <w:rPr>
                <w:rFonts w:ascii="Arial" w:hAnsi="Arial" w:cs="Arial"/>
                <w:sz w:val="22"/>
                <w:szCs w:val="22"/>
              </w:rPr>
              <w:t>te</w:t>
            </w:r>
            <w:proofErr w:type="spellEnd"/>
            <w:r w:rsidRPr="00647C6B">
              <w:rPr>
                <w:rFonts w:ascii="Arial" w:hAnsi="Arial" w:cs="Arial"/>
                <w:sz w:val="22"/>
                <w:szCs w:val="22"/>
              </w:rPr>
              <w:t xml:space="preserve"> </w:t>
            </w:r>
            <w:proofErr w:type="spellStart"/>
            <w:r w:rsidRPr="00647C6B">
              <w:rPr>
                <w:rFonts w:ascii="Arial" w:hAnsi="Arial" w:cs="Arial"/>
                <w:sz w:val="22"/>
                <w:szCs w:val="22"/>
              </w:rPr>
              <w:t>Hīnota</w:t>
            </w:r>
            <w:proofErr w:type="spellEnd"/>
            <w:r w:rsidRPr="00647C6B">
              <w:rPr>
                <w:rFonts w:ascii="Arial" w:hAnsi="Arial" w:cs="Arial"/>
                <w:sz w:val="22"/>
                <w:szCs w:val="22"/>
              </w:rPr>
              <w:t xml:space="preserve"> before it is adopted.</w:t>
            </w:r>
          </w:p>
          <w:p w:rsidR="006477B1" w:rsidRPr="00647C6B" w:rsidRDefault="006477B1" w:rsidP="00996F57">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6477B1" w:rsidRPr="00F37FBD" w:rsidRDefault="006477B1" w:rsidP="00996F57">
            <w:pPr>
              <w:rPr>
                <w:rFonts w:ascii="Arial" w:hAnsi="Arial" w:cs="Arial"/>
                <w:i/>
                <w:sz w:val="18"/>
                <w:szCs w:val="18"/>
              </w:rPr>
            </w:pPr>
            <w:r w:rsidRPr="00F37FBD">
              <w:rPr>
                <w:rFonts w:ascii="Arial" w:hAnsi="Arial" w:cs="Arial"/>
                <w:i/>
                <w:sz w:val="18"/>
                <w:szCs w:val="18"/>
              </w:rPr>
              <w:t>Reports presented under single motion.</w:t>
            </w:r>
          </w:p>
        </w:tc>
      </w:tr>
      <w:tr w:rsidR="006477B1" w:rsidRPr="00647C6B" w:rsidTr="00996F57">
        <w:tc>
          <w:tcPr>
            <w:tcW w:w="959" w:type="dxa"/>
            <w:tcBorders>
              <w:top w:val="nil"/>
              <w:left w:val="nil"/>
              <w:bottom w:val="nil"/>
              <w:right w:val="nil"/>
            </w:tcBorders>
          </w:tcPr>
          <w:p w:rsidR="006477B1" w:rsidRPr="00647C6B" w:rsidRDefault="006477B1" w:rsidP="00996F57">
            <w:pPr>
              <w:rPr>
                <w:rFonts w:ascii="Arial" w:hAnsi="Arial" w:cs="Arial"/>
                <w:b/>
                <w:sz w:val="22"/>
                <w:szCs w:val="22"/>
                <w:u w:val="single"/>
              </w:rPr>
            </w:pPr>
            <w:r w:rsidRPr="00647C6B">
              <w:rPr>
                <w:rFonts w:ascii="Arial" w:hAnsi="Arial" w:cs="Arial"/>
                <w:spacing w:val="-3"/>
                <w:sz w:val="22"/>
                <w:szCs w:val="22"/>
                <w:lang w:val="en-US"/>
              </w:rPr>
              <w:t>106.</w:t>
            </w:r>
          </w:p>
        </w:tc>
        <w:tc>
          <w:tcPr>
            <w:tcW w:w="6095" w:type="dxa"/>
            <w:tcBorders>
              <w:top w:val="nil"/>
              <w:left w:val="nil"/>
              <w:bottom w:val="nil"/>
              <w:right w:val="nil"/>
            </w:tcBorders>
          </w:tcPr>
          <w:p w:rsidR="006477B1" w:rsidRPr="00647C6B" w:rsidRDefault="006477B1" w:rsidP="00996F57">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Cases not herein provided for shall be governed by the Standing Orders of the House of Representatives so far as applicable to the proceedings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and Committees thereof respectively.</w:t>
            </w:r>
          </w:p>
          <w:p w:rsidR="006477B1" w:rsidRPr="00647C6B" w:rsidRDefault="006477B1" w:rsidP="00996F57">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6477B1" w:rsidRPr="00647C6B" w:rsidRDefault="006477B1" w:rsidP="00996F57">
            <w:pPr>
              <w:rPr>
                <w:rFonts w:ascii="Arial" w:hAnsi="Arial" w:cs="Arial"/>
                <w:i/>
                <w:sz w:val="22"/>
                <w:szCs w:val="22"/>
              </w:rPr>
            </w:pPr>
          </w:p>
        </w:tc>
      </w:tr>
    </w:tbl>
    <w:p w:rsidR="00843813" w:rsidRDefault="00843813"/>
    <w:sectPr w:rsidR="0084381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B87" w:rsidRDefault="003E2B87" w:rsidP="006477B1">
      <w:r>
        <w:separator/>
      </w:r>
    </w:p>
  </w:endnote>
  <w:endnote w:type="continuationSeparator" w:id="0">
    <w:p w:rsidR="003E2B87" w:rsidRDefault="003E2B87" w:rsidP="0064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7B1" w:rsidRDefault="006477B1" w:rsidP="002037E0">
    <w:pPr>
      <w:pStyle w:val="Footer"/>
      <w:numPr>
        <w:ilvl w:val="0"/>
        <w:numId w:val="1"/>
      </w:numPr>
      <w:tabs>
        <w:tab w:val="clear" w:pos="4513"/>
      </w:tabs>
      <w:ind w:left="4111" w:hanging="136"/>
    </w:pPr>
    <w:r>
      <w:t>S. 22 -</w:t>
    </w:r>
    <w:r>
      <w:tab/>
    </w:r>
    <w:r w:rsidR="00422C78" w:rsidRPr="00F061E0">
      <w:t>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7B1" w:rsidRDefault="006477B1" w:rsidP="002037E0">
    <w:pPr>
      <w:pStyle w:val="Footer"/>
      <w:numPr>
        <w:ilvl w:val="0"/>
        <w:numId w:val="1"/>
      </w:numPr>
      <w:tabs>
        <w:tab w:val="clear" w:pos="4513"/>
      </w:tabs>
      <w:ind w:left="4111" w:hanging="136"/>
    </w:pPr>
    <w:r>
      <w:t>S. 23 -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B87" w:rsidRDefault="003E2B87" w:rsidP="006477B1">
      <w:r>
        <w:separator/>
      </w:r>
    </w:p>
  </w:footnote>
  <w:footnote w:type="continuationSeparator" w:id="0">
    <w:p w:rsidR="003E2B87" w:rsidRDefault="003E2B87" w:rsidP="00647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7B1" w:rsidRPr="006477B1" w:rsidRDefault="006477B1" w:rsidP="006477B1">
    <w:pPr>
      <w:pStyle w:val="Header"/>
      <w:tabs>
        <w:tab w:val="clear" w:pos="4513"/>
        <w:tab w:val="clear" w:pos="9026"/>
        <w:tab w:val="right" w:pos="8505"/>
      </w:tabs>
      <w:rPr>
        <w:rFonts w:ascii="Arial" w:hAnsi="Arial" w:cs="Arial"/>
        <w:b/>
        <w:sz w:val="22"/>
        <w:szCs w:val="22"/>
      </w:rPr>
    </w:pPr>
    <w:r>
      <w:rPr>
        <w:rFonts w:ascii="Arial" w:hAnsi="Arial" w:cs="Arial"/>
        <w:b/>
        <w:sz w:val="22"/>
        <w:szCs w:val="22"/>
      </w:rPr>
      <w:tab/>
      <w:t>STANDING ORDERS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917E9"/>
    <w:multiLevelType w:val="hybridMultilevel"/>
    <w:tmpl w:val="1A384880"/>
    <w:lvl w:ilvl="0" w:tplc="4C92E560">
      <w:start w:val="88"/>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7B1"/>
    <w:rsid w:val="001718DD"/>
    <w:rsid w:val="001B446E"/>
    <w:rsid w:val="002037E0"/>
    <w:rsid w:val="003E2B87"/>
    <w:rsid w:val="00422C78"/>
    <w:rsid w:val="006477B1"/>
    <w:rsid w:val="00843813"/>
    <w:rsid w:val="00F061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2FD46"/>
  <w15:chartTrackingRefBased/>
  <w15:docId w15:val="{C1E2470F-0EBB-4218-8E27-923BB05A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7B1"/>
    <w:pPr>
      <w:tabs>
        <w:tab w:val="center" w:pos="4513"/>
        <w:tab w:val="right" w:pos="9026"/>
      </w:tabs>
    </w:pPr>
  </w:style>
  <w:style w:type="character" w:customStyle="1" w:styleId="HeaderChar">
    <w:name w:val="Header Char"/>
    <w:basedOn w:val="DefaultParagraphFont"/>
    <w:link w:val="Header"/>
    <w:uiPriority w:val="99"/>
    <w:rsid w:val="006477B1"/>
    <w:rPr>
      <w:rFonts w:ascii="Times New Roman" w:eastAsia="Times New Roman" w:hAnsi="Times New Roman" w:cs="Times New Roman"/>
      <w:sz w:val="20"/>
      <w:szCs w:val="20"/>
      <w:lang w:val="en-AU" w:eastAsia="en-NZ"/>
    </w:rPr>
  </w:style>
  <w:style w:type="paragraph" w:styleId="Footer">
    <w:name w:val="footer"/>
    <w:basedOn w:val="Normal"/>
    <w:link w:val="FooterChar"/>
    <w:uiPriority w:val="99"/>
    <w:unhideWhenUsed/>
    <w:rsid w:val="006477B1"/>
    <w:pPr>
      <w:tabs>
        <w:tab w:val="center" w:pos="4513"/>
        <w:tab w:val="right" w:pos="9026"/>
      </w:tabs>
    </w:pPr>
  </w:style>
  <w:style w:type="character" w:customStyle="1" w:styleId="FooterChar">
    <w:name w:val="Footer Char"/>
    <w:basedOn w:val="DefaultParagraphFont"/>
    <w:link w:val="Footer"/>
    <w:uiPriority w:val="99"/>
    <w:rsid w:val="006477B1"/>
    <w:rPr>
      <w:rFonts w:ascii="Times New Roman" w:eastAsia="Times New Roman" w:hAnsi="Times New Roman" w:cs="Times New Roman"/>
      <w:sz w:val="20"/>
      <w:szCs w:val="20"/>
      <w:lang w:val="en-AU" w:eastAsia="en-NZ"/>
    </w:rPr>
  </w:style>
  <w:style w:type="paragraph" w:styleId="BalloonText">
    <w:name w:val="Balloon Text"/>
    <w:basedOn w:val="Normal"/>
    <w:link w:val="BalloonTextChar"/>
    <w:uiPriority w:val="99"/>
    <w:semiHidden/>
    <w:unhideWhenUsed/>
    <w:rsid w:val="00422C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C78"/>
    <w:rPr>
      <w:rFonts w:ascii="Segoe UI" w:eastAsia="Times New Roman" w:hAnsi="Segoe UI" w:cs="Segoe UI"/>
      <w:sz w:val="18"/>
      <w:szCs w:val="18"/>
      <w:lang w:val="en-AU"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0" ma:contentTypeDescription="Create a new document." ma:contentTypeScope="" ma:versionID="d7fe7874312c2da340ceb3fbc49a28f5">
  <xsd:schema xmlns:xsd="http://www.w3.org/2001/XMLSchema" xmlns:xs="http://www.w3.org/2001/XMLSchema" xmlns:p="http://schemas.microsoft.com/office/2006/metadata/properties" targetNamespace="http://schemas.microsoft.com/office/2006/metadata/properties" ma:root="true" ma:fieldsID="bd1d1e26aff2cf59e2ee5e8f6177fa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40F47-D49F-4B90-A93A-A659AB0A83CF}"/>
</file>

<file path=customXml/itemProps2.xml><?xml version="1.0" encoding="utf-8"?>
<ds:datastoreItem xmlns:ds="http://schemas.openxmlformats.org/officeDocument/2006/customXml" ds:itemID="{917F80A7-7725-4AA5-B3AF-E9BAD246D639}"/>
</file>

<file path=customXml/itemProps3.xml><?xml version="1.0" encoding="utf-8"?>
<ds:datastoreItem xmlns:ds="http://schemas.openxmlformats.org/officeDocument/2006/customXml" ds:itemID="{9DD2267A-A397-4022-AA62-F15F74EAACA6}"/>
</file>

<file path=docProps/app.xml><?xml version="1.0" encoding="utf-8"?>
<Properties xmlns="http://schemas.openxmlformats.org/officeDocument/2006/extended-properties" xmlns:vt="http://schemas.openxmlformats.org/officeDocument/2006/docPropsVTypes">
  <Template>Normal.dotm</Template>
  <TotalTime>8</TotalTime>
  <Pages>1</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4</cp:revision>
  <cp:lastPrinted>2014-08-07T23:21:00Z</cp:lastPrinted>
  <dcterms:created xsi:type="dcterms:W3CDTF">2014-08-01T00:33:00Z</dcterms:created>
  <dcterms:modified xsi:type="dcterms:W3CDTF">2014-08-07T23:22:00Z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0x0101009983B30A3A11D34F85320AD0A54D38CD</vt:lpwstr>
  </property>
  <property fmtid="{D5CDD505-2E9C-101B-9397-08002B2CF9AE}" pid="3" name="IsMyDocuments">
    <vt:bool>true</vt:bool>
  </property>
</Properties>
</file>